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82B8" w14:textId="25BA291C" w:rsidR="00A46664" w:rsidRPr="006E7E37" w:rsidRDefault="00A46664" w:rsidP="001A3201">
      <w:pPr>
        <w:spacing w:before="0" w:after="0"/>
        <w:jc w:val="both"/>
        <w:rPr>
          <w:rFonts w:cs="Arial"/>
          <w:u w:val="single"/>
        </w:rPr>
      </w:pPr>
    </w:p>
    <w:p w14:paraId="5EA8A65F" w14:textId="6FED43EA" w:rsidR="001A3201" w:rsidRPr="006E7E37" w:rsidRDefault="001A3201" w:rsidP="00A46664">
      <w:pPr>
        <w:pStyle w:val="Naslov2"/>
        <w:rPr>
          <w:b/>
          <w:shd w:val="clear" w:color="auto" w:fill="C0C0C0"/>
          <w:lang w:eastAsia="sl-SI"/>
        </w:rPr>
      </w:pPr>
      <w:r w:rsidRPr="006E7E37">
        <w:rPr>
          <w:b/>
          <w:lang w:eastAsia="sl-SI"/>
        </w:rPr>
        <w:t xml:space="preserve">B - </w:t>
      </w:r>
      <w:r w:rsidRPr="006E7E37">
        <w:rPr>
          <w:b/>
          <w:shd w:val="clear" w:color="auto" w:fill="C0C0C0"/>
          <w:lang w:eastAsia="sl-SI"/>
        </w:rPr>
        <w:t>FINANČNI NAČRT</w:t>
      </w:r>
    </w:p>
    <w:p w14:paraId="7072D124" w14:textId="77777777" w:rsidR="00A46664" w:rsidRPr="006E7E37" w:rsidRDefault="00A46664" w:rsidP="00A46664">
      <w:pPr>
        <w:pBdr>
          <w:bottom w:val="single" w:sz="4" w:space="1" w:color="auto"/>
        </w:pBdr>
        <w:spacing w:before="0" w:after="0"/>
        <w:contextualSpacing/>
        <w:rPr>
          <w:rFonts w:eastAsia="Calibri" w:cs="Tahoma"/>
          <w:lang w:eastAsia="en-US"/>
        </w:rPr>
      </w:pPr>
    </w:p>
    <w:p w14:paraId="07038147" w14:textId="39CC5F5A" w:rsidR="001A3201" w:rsidRPr="006E7E37" w:rsidRDefault="001A3201" w:rsidP="00A46664">
      <w:pPr>
        <w:pBdr>
          <w:bottom w:val="single" w:sz="4" w:space="1" w:color="auto"/>
        </w:pBdr>
        <w:spacing w:before="0" w:after="0"/>
        <w:contextualSpacing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>Ime društva:</w:t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2C833073" w14:textId="77777777" w:rsidR="001A3201" w:rsidRPr="006E7E37" w:rsidRDefault="001A3201" w:rsidP="00A46664">
      <w:pPr>
        <w:spacing w:before="0" w:after="0"/>
        <w:contextualSpacing/>
        <w:jc w:val="both"/>
        <w:rPr>
          <w:rFonts w:eastAsia="Times New Roman" w:cs="Tahoma"/>
          <w:b/>
          <w:lang w:eastAsia="sl-SI"/>
        </w:rPr>
      </w:pPr>
    </w:p>
    <w:p w14:paraId="3FE67356" w14:textId="77BFA647" w:rsidR="001A3201" w:rsidRPr="006E7E37" w:rsidRDefault="001A3201" w:rsidP="00A46664">
      <w:pPr>
        <w:spacing w:before="0" w:after="0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 xml:space="preserve">Pregled načrtovanih programskih stroškov v letu </w:t>
      </w:r>
      <w:r w:rsidR="00B26B9A" w:rsidRPr="006E7E37">
        <w:rPr>
          <w:rFonts w:eastAsia="Times New Roman" w:cs="Tahoma"/>
          <w:b/>
          <w:lang w:eastAsia="sl-SI"/>
        </w:rPr>
        <w:t>2021</w:t>
      </w:r>
      <w:r w:rsidRPr="006E7E37">
        <w:rPr>
          <w:rFonts w:eastAsia="Times New Roman" w:cs="Tahoma"/>
          <w:b/>
          <w:lang w:eastAsia="sl-SI"/>
        </w:rPr>
        <w:t>:</w:t>
      </w:r>
    </w:p>
    <w:p w14:paraId="1AA5E6B3" w14:textId="77777777" w:rsidR="00A007B0" w:rsidRPr="006E7E37" w:rsidRDefault="00A007B0" w:rsidP="00A46664">
      <w:pPr>
        <w:spacing w:before="0" w:after="0"/>
        <w:ind w:left="133"/>
        <w:contextualSpacing/>
        <w:jc w:val="both"/>
        <w:rPr>
          <w:rFonts w:eastAsia="Times New Roman" w:cs="Tahoma"/>
          <w:b/>
          <w:lang w:eastAsia="sl-SI"/>
        </w:rPr>
      </w:pPr>
    </w:p>
    <w:p w14:paraId="5E3E2E9B" w14:textId="6078F041" w:rsidR="001A3201" w:rsidRPr="006E7E37" w:rsidRDefault="001A3201" w:rsidP="00A46664">
      <w:pPr>
        <w:spacing w:before="0" w:after="0"/>
        <w:ind w:left="133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>ODHODKI</w:t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</w:p>
    <w:p w14:paraId="4E7901F9" w14:textId="77777777" w:rsidR="00A007B0" w:rsidRPr="006E7E37" w:rsidRDefault="00A007B0" w:rsidP="00A007B0">
      <w:pPr>
        <w:spacing w:before="0"/>
        <w:ind w:firstLine="133"/>
        <w:contextualSpacing/>
        <w:jc w:val="both"/>
        <w:rPr>
          <w:rFonts w:eastAsia="Times New Roman" w:cs="Tahoma"/>
          <w:b/>
          <w:bCs/>
          <w:lang w:eastAsia="sl-SI"/>
        </w:rPr>
      </w:pPr>
      <w:r w:rsidRPr="006E7E37">
        <w:rPr>
          <w:rFonts w:cs="Tahoma"/>
          <w:b/>
          <w:bCs/>
        </w:rPr>
        <w:t>Materialni stroški za delovanje društva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6E7E37" w:rsidRPr="006E7E37" w14:paraId="08482823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4D9B74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17D7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Strošek v EUR</w:t>
            </w:r>
          </w:p>
        </w:tc>
      </w:tr>
      <w:tr w:rsidR="006E7E37" w:rsidRPr="006E7E37" w14:paraId="009A5433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86A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/>
                <w:lang w:eastAsia="en-US"/>
              </w:rPr>
            </w:pPr>
            <w:r w:rsidRPr="006E7E37">
              <w:rPr>
                <w:rFonts w:eastAsia="Times New Roman" w:cs="Tahoma"/>
                <w:lang w:eastAsia="sl-SI"/>
              </w:rPr>
              <w:t>Stroški najema vadbenih prostorov za redno delovanje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A60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52FE7E4D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CE83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Stroški študijskega dela mentorjev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56EF6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A8AE6B5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2CE3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Potni stroški mentorja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6BCE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733821B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164F9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Materialni stroški skupaj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9FA3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</w:p>
        </w:tc>
      </w:tr>
    </w:tbl>
    <w:p w14:paraId="4B72E3E4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p w14:paraId="119D7D78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p w14:paraId="61E31DB0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  <w:r w:rsidRPr="006E7E37">
        <w:rPr>
          <w:rFonts w:eastAsia="Times New Roman" w:cs="Tahoma"/>
          <w:b/>
          <w:bCs/>
          <w:lang w:eastAsia="sl-SI"/>
        </w:rPr>
        <w:t>Drugi programski stroški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6E7E37" w:rsidRPr="006E7E37" w14:paraId="509C4329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F6D283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6C2CE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Strošek v EUR</w:t>
            </w:r>
          </w:p>
        </w:tc>
      </w:tr>
      <w:tr w:rsidR="006E7E37" w:rsidRPr="006E7E37" w14:paraId="325CF007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AE5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/>
                <w:lang w:eastAsia="en-US"/>
              </w:rPr>
            </w:pPr>
            <w:r w:rsidRPr="006E7E37">
              <w:rPr>
                <w:rFonts w:eastAsia="Times New Roman" w:cs="Tahoma"/>
                <w:lang w:eastAsia="sl-SI"/>
              </w:rPr>
              <w:t>Stroški najema dvorane in tehnike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641F3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65E96989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13D6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Stroški scene in rekvizitov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C3AC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784C2E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949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Tiskana gradiva (vabila, plakati)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C682A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7BC802ED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65290" w14:textId="77777777" w:rsidR="00A007B0" w:rsidRPr="006E7E37" w:rsidRDefault="00A007B0">
            <w:pPr>
              <w:spacing w:before="0"/>
              <w:contextualSpacing/>
              <w:rPr>
                <w:rFonts w:eastAsia="Times New Roman" w:cs="Tahoma"/>
                <w:lang w:eastAsia="sl-SI"/>
              </w:rPr>
            </w:pPr>
            <w:r w:rsidRPr="006E7E37">
              <w:t>Stroški slikarskega/kiparskega(fotografskega/filmskega materiala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4A0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63CCE8B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54A5D" w14:textId="77777777" w:rsidR="00A007B0" w:rsidRPr="006E7E37" w:rsidRDefault="00A007B0">
            <w:pPr>
              <w:spacing w:before="0"/>
              <w:contextualSpacing/>
            </w:pPr>
            <w:r w:rsidRPr="006E7E37">
              <w:rPr>
                <w:rFonts w:eastAsia="Times New Roman" w:cs="Tahoma"/>
                <w:lang w:eastAsia="sl-SI"/>
              </w:rPr>
              <w:t>Stroški notnega materiala in drugega študijskega gradiva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ACD4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4E3D423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0BC0" w14:textId="77777777" w:rsidR="00A007B0" w:rsidRPr="006E7E37" w:rsidRDefault="00A007B0">
            <w:pPr>
              <w:spacing w:before="0"/>
              <w:contextualSpacing/>
            </w:pPr>
            <w:r w:rsidRPr="006E7E37">
              <w:rPr>
                <w:rFonts w:eastAsia="Times New Roman" w:cs="Tahoma"/>
                <w:lang w:eastAsia="sl-SI"/>
              </w:rPr>
              <w:t>Stroški priprave razstave, produkcije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98F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6339704C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86A3" w14:textId="77777777" w:rsidR="00A007B0" w:rsidRPr="006E7E37" w:rsidRDefault="00A007B0">
            <w:pPr>
              <w:spacing w:before="0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Vzdrževanje kostumov, koncertnih oblek, inštrumentov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3CD5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0A7A1F90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610D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Avtorske pravice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FE96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2D850234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96A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Kotizacije (za udeležbe na seminarjih)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64A0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4757153B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4195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ACFE9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4C551AC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64E60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Potni stroški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99FD4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5989128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AFC2A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8B87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72CB57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77A9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56DB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D54D660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AB95A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8CBC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3A8CCE73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0DEB1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Drugi programski stroški skupaj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0085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</w:p>
        </w:tc>
      </w:tr>
    </w:tbl>
    <w:p w14:paraId="46D8ED57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p w14:paraId="0B15FB19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6E7E37" w:rsidRPr="006E7E37" w14:paraId="696C962D" w14:textId="77777777" w:rsidTr="00A007B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B569" w14:textId="77777777" w:rsidR="00A007B0" w:rsidRPr="006E7E37" w:rsidRDefault="00A007B0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VSI ODHODKI SKUPAJ:*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A5A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</w:p>
        </w:tc>
      </w:tr>
    </w:tbl>
    <w:p w14:paraId="05CA2121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3665AE3B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75D9CC98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3F8AE824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4EF88FE8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30B5A786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4DE60E85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835"/>
      </w:tblGrid>
      <w:tr w:rsidR="006E7E37" w:rsidRPr="006E7E37" w14:paraId="5D8837BA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F5D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Vrsta prihodka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CD5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Calibri" w:cs="Tahoma"/>
                <w:b/>
                <w:lang w:eastAsia="en-US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 xml:space="preserve">Prihodek v EUR </w:t>
            </w:r>
          </w:p>
        </w:tc>
      </w:tr>
      <w:tr w:rsidR="006E7E37" w:rsidRPr="006E7E37" w14:paraId="6BF49678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27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Pričakovani znesek Občine Brežice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DF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62C5C390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AF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Ostali proračunski viri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27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64E89EC1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E5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F63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339A6EAD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17E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Lastni prihodki (vstopnine, prodaja publikacij…)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08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5177C605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ACF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Ostali prihodki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8C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7B5D01A9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074" w14:textId="77777777" w:rsidR="00A007B0" w:rsidRPr="006E7E37" w:rsidRDefault="00A007B0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PRIHODKI SKUPAJ:*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EE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</w:tbl>
    <w:p w14:paraId="3A15B4DE" w14:textId="77777777" w:rsidR="00A007B0" w:rsidRPr="006E7E37" w:rsidRDefault="00A007B0" w:rsidP="00A007B0">
      <w:pPr>
        <w:spacing w:before="0" w:after="0"/>
        <w:contextualSpacing/>
        <w:jc w:val="both"/>
        <w:rPr>
          <w:rFonts w:eastAsia="Times New Roman" w:cs="Tahoma"/>
          <w:b/>
          <w:lang w:eastAsia="sl-SI"/>
        </w:rPr>
      </w:pPr>
    </w:p>
    <w:p w14:paraId="6DC887E1" w14:textId="77777777" w:rsidR="00A007B0" w:rsidRPr="006E7E37" w:rsidRDefault="00A007B0" w:rsidP="00A007B0">
      <w:pPr>
        <w:spacing w:before="0" w:after="0"/>
        <w:contextualSpacing/>
        <w:rPr>
          <w:rFonts w:eastAsia="Times New Roman" w:cs="Tahoma"/>
          <w:lang w:eastAsia="sl-SI"/>
        </w:rPr>
      </w:pPr>
      <w:r w:rsidRPr="006E7E37">
        <w:rPr>
          <w:rFonts w:eastAsia="Times New Roman" w:cs="Tahoma"/>
          <w:lang w:eastAsia="sl-SI"/>
        </w:rPr>
        <w:t xml:space="preserve">* </w:t>
      </w:r>
      <w:r w:rsidRPr="006E7E37">
        <w:rPr>
          <w:rFonts w:eastAsia="Times New Roman" w:cs="Tahoma"/>
          <w:b/>
          <w:lang w:eastAsia="sl-SI"/>
        </w:rPr>
        <w:t>Vsoti odhodkov in prihodkov se morata ujemati!</w:t>
      </w:r>
      <w:r w:rsidRPr="006E7E37">
        <w:rPr>
          <w:rFonts w:eastAsia="Times New Roman" w:cs="Tahoma"/>
          <w:lang w:eastAsia="sl-SI"/>
        </w:rPr>
        <w:t xml:space="preserve"> </w:t>
      </w:r>
    </w:p>
    <w:p w14:paraId="4111BDC5" w14:textId="77777777" w:rsidR="00A007B0" w:rsidRPr="006E7E37" w:rsidRDefault="00A007B0" w:rsidP="00A007B0">
      <w:pPr>
        <w:spacing w:before="0" w:after="0"/>
        <w:contextualSpacing/>
        <w:rPr>
          <w:rFonts w:eastAsia="Times New Roman" w:cs="Tahoma"/>
          <w:lang w:eastAsia="sl-SI"/>
        </w:rPr>
      </w:pPr>
    </w:p>
    <w:p w14:paraId="60AA124B" w14:textId="77777777" w:rsidR="00A007B0" w:rsidRPr="006E7E37" w:rsidRDefault="00A007B0" w:rsidP="00A007B0">
      <w:pPr>
        <w:spacing w:before="0" w:after="0"/>
        <w:contextualSpacing/>
        <w:jc w:val="both"/>
        <w:rPr>
          <w:rFonts w:eastAsia="Times New Roman" w:cs="Tahoma"/>
          <w:lang w:eastAsia="sl-SI"/>
        </w:rPr>
      </w:pPr>
      <w:r w:rsidRPr="006E7E37">
        <w:rPr>
          <w:rFonts w:eastAsia="Times New Roman" w:cs="Tahoma"/>
          <w:lang w:eastAsia="sl-SI"/>
        </w:rPr>
        <w:t>** pogostitev udeležencev je v celoti možno upoštevati le v primerih, ko gre za strošek pogostitve nastopajočih, ki za gostovanje ne prejmejo honorarja in s svojim prispevkom soustvarjajo prireditev, dogajanje. Nastopajoči niso sekcije društva, temveč druga društva oz. posamezniki iz občine Brežice ali širše.</w:t>
      </w:r>
    </w:p>
    <w:p w14:paraId="778CBE61" w14:textId="77777777" w:rsidR="00A007B0" w:rsidRPr="006E7E37" w:rsidRDefault="00A007B0" w:rsidP="00A007B0">
      <w:pPr>
        <w:spacing w:before="0" w:after="0"/>
        <w:contextualSpacing/>
        <w:jc w:val="both"/>
        <w:rPr>
          <w:rFonts w:eastAsia="Times New Roman" w:cs="Tahoma"/>
          <w:lang w:eastAsia="ar-SA"/>
        </w:rPr>
      </w:pPr>
      <w:r w:rsidRPr="006E7E37">
        <w:rPr>
          <w:rFonts w:eastAsia="Times New Roman" w:cs="Tahoma"/>
          <w:lang w:eastAsia="sl-SI"/>
        </w:rPr>
        <w:t xml:space="preserve">*** Navedite le stroške, ki jih bo neposredno poravnalo društvo/skupina – ne navajajte stroškov, ki jih bo  za društvo/skupino pokril kdo drug in </w:t>
      </w:r>
      <w:r w:rsidRPr="006E7E37">
        <w:rPr>
          <w:rFonts w:eastAsia="Times New Roman" w:cs="Tahoma"/>
          <w:lang w:eastAsia="ar-SA"/>
        </w:rPr>
        <w:t>ne navajajte stroškov lastnega dela, ki ga opravite prostovoljno!</w:t>
      </w:r>
    </w:p>
    <w:p w14:paraId="44797CF4" w14:textId="029917DC" w:rsidR="001A3201" w:rsidRPr="006E7E37" w:rsidRDefault="001A3201" w:rsidP="001A3201">
      <w:pPr>
        <w:spacing w:before="0" w:after="0" w:line="240" w:lineRule="auto"/>
      </w:pPr>
    </w:p>
    <w:p w14:paraId="46350905" w14:textId="024EAFE2" w:rsidR="00653FDB" w:rsidRPr="006E7E37" w:rsidRDefault="00653FDB" w:rsidP="001A3201">
      <w:pPr>
        <w:spacing w:before="0" w:after="0" w:line="240" w:lineRule="auto"/>
      </w:pPr>
    </w:p>
    <w:p w14:paraId="1FBE33CA" w14:textId="458277B0" w:rsidR="00653FDB" w:rsidRPr="006E7E37" w:rsidRDefault="00653FDB" w:rsidP="001A3201">
      <w:pPr>
        <w:spacing w:before="0" w:after="0" w:line="240" w:lineRule="auto"/>
      </w:pPr>
    </w:p>
    <w:p w14:paraId="393668B7" w14:textId="775BFCC9" w:rsidR="00761E08" w:rsidRPr="006E7E37" w:rsidRDefault="00761E08" w:rsidP="001A3201">
      <w:pPr>
        <w:spacing w:before="0" w:after="0" w:line="240" w:lineRule="auto"/>
      </w:pPr>
    </w:p>
    <w:p w14:paraId="1EFD8FBA" w14:textId="007F8AD8" w:rsidR="00761E08" w:rsidRPr="006E7E37" w:rsidRDefault="00761E08" w:rsidP="001A3201">
      <w:pPr>
        <w:spacing w:before="0" w:after="0" w:line="240" w:lineRule="auto"/>
      </w:pPr>
    </w:p>
    <w:p w14:paraId="37FE43C1" w14:textId="307A214D" w:rsidR="00761E08" w:rsidRPr="006E7E37" w:rsidRDefault="00761E08" w:rsidP="001A3201">
      <w:pPr>
        <w:spacing w:before="0" w:after="0" w:line="240" w:lineRule="auto"/>
      </w:pPr>
    </w:p>
    <w:p w14:paraId="585C5246" w14:textId="68CD3652" w:rsidR="00761E08" w:rsidRPr="006E7E37" w:rsidRDefault="00761E08" w:rsidP="001A3201">
      <w:pPr>
        <w:spacing w:before="0" w:after="0" w:line="240" w:lineRule="auto"/>
      </w:pPr>
    </w:p>
    <w:p w14:paraId="23A9E166" w14:textId="4738D853" w:rsidR="00761E08" w:rsidRPr="006E7E37" w:rsidRDefault="00761E08" w:rsidP="001A3201">
      <w:pPr>
        <w:spacing w:before="0" w:after="0" w:line="240" w:lineRule="auto"/>
      </w:pPr>
    </w:p>
    <w:p w14:paraId="6ACFD2EC" w14:textId="41DBA1B8" w:rsidR="00761E08" w:rsidRPr="006E7E37" w:rsidRDefault="00761E08" w:rsidP="001A3201">
      <w:pPr>
        <w:spacing w:before="0" w:after="0" w:line="240" w:lineRule="auto"/>
      </w:pPr>
    </w:p>
    <w:p w14:paraId="21D7DE98" w14:textId="71834362" w:rsidR="00761E08" w:rsidRPr="006E7E37" w:rsidRDefault="00761E08" w:rsidP="001A3201">
      <w:pPr>
        <w:spacing w:before="0" w:after="0" w:line="240" w:lineRule="auto"/>
      </w:pPr>
    </w:p>
    <w:p w14:paraId="53BD0275" w14:textId="15142616" w:rsidR="00761E08" w:rsidRPr="006E7E37" w:rsidRDefault="00761E08" w:rsidP="001A3201">
      <w:pPr>
        <w:spacing w:before="0" w:after="0" w:line="240" w:lineRule="auto"/>
      </w:pPr>
    </w:p>
    <w:p w14:paraId="4105DCD4" w14:textId="18F58BC2" w:rsidR="00761E08" w:rsidRPr="006E7E37" w:rsidRDefault="00761E08" w:rsidP="001A3201">
      <w:pPr>
        <w:spacing w:before="0" w:after="0" w:line="240" w:lineRule="auto"/>
      </w:pPr>
    </w:p>
    <w:p w14:paraId="1EFF43AE" w14:textId="41D43883" w:rsidR="00761E08" w:rsidRPr="006E7E37" w:rsidRDefault="00761E08" w:rsidP="001A3201">
      <w:pPr>
        <w:spacing w:before="0" w:after="0" w:line="240" w:lineRule="auto"/>
      </w:pPr>
    </w:p>
    <w:p w14:paraId="0588CC51" w14:textId="6C12E0EB" w:rsidR="00761E08" w:rsidRPr="006E7E37" w:rsidRDefault="00761E08" w:rsidP="001A3201">
      <w:pPr>
        <w:spacing w:before="0" w:after="0" w:line="240" w:lineRule="auto"/>
      </w:pPr>
    </w:p>
    <w:p w14:paraId="2B4B78A1" w14:textId="095F89A4" w:rsidR="00761E08" w:rsidRPr="006E7E37" w:rsidRDefault="00761E08" w:rsidP="001A3201">
      <w:pPr>
        <w:spacing w:before="0" w:after="0" w:line="240" w:lineRule="auto"/>
      </w:pPr>
    </w:p>
    <w:p w14:paraId="31300131" w14:textId="19AA7983" w:rsidR="00761E08" w:rsidRPr="006E7E37" w:rsidRDefault="00761E08" w:rsidP="001A3201">
      <w:pPr>
        <w:spacing w:before="0" w:after="0" w:line="240" w:lineRule="auto"/>
      </w:pPr>
    </w:p>
    <w:p w14:paraId="3C045FB8" w14:textId="0ED8FA7A" w:rsidR="00761E08" w:rsidRPr="006E7E37" w:rsidRDefault="00761E08" w:rsidP="001A3201">
      <w:pPr>
        <w:spacing w:before="0" w:after="0" w:line="240" w:lineRule="auto"/>
      </w:pPr>
    </w:p>
    <w:p w14:paraId="350DCBA0" w14:textId="6D498087" w:rsidR="00761E08" w:rsidRPr="006E7E37" w:rsidRDefault="00761E08" w:rsidP="001A3201">
      <w:pPr>
        <w:spacing w:before="0" w:after="0" w:line="240" w:lineRule="auto"/>
      </w:pPr>
    </w:p>
    <w:p w14:paraId="37D4BF38" w14:textId="77B88AB4" w:rsidR="00761E08" w:rsidRPr="006E7E37" w:rsidRDefault="00761E08" w:rsidP="001A3201">
      <w:pPr>
        <w:spacing w:before="0" w:after="0" w:line="240" w:lineRule="auto"/>
      </w:pPr>
    </w:p>
    <w:p w14:paraId="7DAE008A" w14:textId="1757B6BB" w:rsidR="00761E08" w:rsidRPr="006E7E37" w:rsidRDefault="00761E08" w:rsidP="001A3201">
      <w:pPr>
        <w:spacing w:before="0" w:after="0" w:line="240" w:lineRule="auto"/>
      </w:pPr>
    </w:p>
    <w:p w14:paraId="1B09DC82" w14:textId="645D2005" w:rsidR="00761E08" w:rsidRPr="006E7E37" w:rsidRDefault="00761E08" w:rsidP="001A3201">
      <w:pPr>
        <w:spacing w:before="0" w:after="0" w:line="240" w:lineRule="auto"/>
      </w:pPr>
    </w:p>
    <w:p w14:paraId="63A253E1" w14:textId="6578C670" w:rsidR="00761E08" w:rsidRPr="006E7E37" w:rsidRDefault="00761E08" w:rsidP="001A3201">
      <w:pPr>
        <w:spacing w:before="0" w:after="0" w:line="240" w:lineRule="auto"/>
      </w:pPr>
    </w:p>
    <w:p w14:paraId="65619F83" w14:textId="6D3142D9" w:rsidR="00761E08" w:rsidRPr="006E7E37" w:rsidRDefault="00761E08" w:rsidP="001A3201">
      <w:pPr>
        <w:spacing w:before="0" w:after="0" w:line="240" w:lineRule="auto"/>
      </w:pPr>
    </w:p>
    <w:p w14:paraId="15DE6C01" w14:textId="10E22EDE" w:rsidR="00761E08" w:rsidRPr="006E7E37" w:rsidRDefault="00761E08" w:rsidP="001A3201">
      <w:pPr>
        <w:spacing w:before="0" w:after="0" w:line="240" w:lineRule="auto"/>
      </w:pPr>
    </w:p>
    <w:p w14:paraId="502CBF95" w14:textId="5FBE952A" w:rsidR="00761E08" w:rsidRPr="006E7E37" w:rsidRDefault="00761E08" w:rsidP="001A3201">
      <w:pPr>
        <w:spacing w:before="0" w:after="0" w:line="240" w:lineRule="auto"/>
      </w:pPr>
    </w:p>
    <w:sectPr w:rsidR="00761E08" w:rsidRPr="006E7E37" w:rsidSect="00C47E20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2912" w14:textId="77777777" w:rsidR="00B65279" w:rsidRDefault="00B65279">
      <w:pPr>
        <w:spacing w:after="0" w:line="240" w:lineRule="auto"/>
      </w:pPr>
      <w:r>
        <w:separator/>
      </w:r>
    </w:p>
  </w:endnote>
  <w:endnote w:type="continuationSeparator" w:id="0">
    <w:p w14:paraId="32FFCEA3" w14:textId="77777777" w:rsidR="00B65279" w:rsidRDefault="00B6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8D31A" w14:textId="77777777" w:rsidR="00B65279" w:rsidRDefault="00B65279">
      <w:pPr>
        <w:spacing w:after="0" w:line="240" w:lineRule="auto"/>
      </w:pPr>
      <w:r>
        <w:separator/>
      </w:r>
    </w:p>
  </w:footnote>
  <w:footnote w:type="continuationSeparator" w:id="0">
    <w:p w14:paraId="32ABE0BF" w14:textId="77777777" w:rsidR="00B65279" w:rsidRDefault="00B6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CF48" w14:textId="77777777" w:rsidR="00C47E20" w:rsidRDefault="00C47E20" w:rsidP="00C47E2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545F6158" w14:textId="77777777" w:rsidR="00C47E20" w:rsidRDefault="00C47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9AD8" w14:textId="77777777" w:rsidR="00C47E20" w:rsidRDefault="00C47E20" w:rsidP="00C47E2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0ABBBF24" w14:textId="77777777" w:rsidR="00C47E20" w:rsidRPr="00C47E20" w:rsidRDefault="00C47E20" w:rsidP="00C47E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250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1D3291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01AD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018E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8009D"/>
    <w:rsid w:val="00A81815"/>
    <w:rsid w:val="00A823A7"/>
    <w:rsid w:val="00A9628B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65279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47E20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0393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1F27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JSKD-Lucka</cp:lastModifiedBy>
  <cp:revision>7</cp:revision>
  <cp:lastPrinted>2020-12-22T06:46:00Z</cp:lastPrinted>
  <dcterms:created xsi:type="dcterms:W3CDTF">2021-01-20T13:35:00Z</dcterms:created>
  <dcterms:modified xsi:type="dcterms:W3CDTF">2021-01-20T13:37:00Z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